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CBA6A" w14:textId="77777777" w:rsidR="003172A2" w:rsidRPr="003172A2" w:rsidRDefault="003172A2" w:rsidP="003172A2">
      <w:pPr>
        <w:rPr>
          <w:sz w:val="28"/>
          <w:szCs w:val="28"/>
        </w:rPr>
      </w:pPr>
      <w:r w:rsidRPr="003172A2">
        <w:rPr>
          <w:b/>
          <w:bCs/>
          <w:sz w:val="28"/>
          <w:szCs w:val="28"/>
        </w:rPr>
        <w:t>Paul Ricoeur (France, 1913-2005) and the Second Naïveté</w:t>
      </w:r>
    </w:p>
    <w:p w14:paraId="4D984B20" w14:textId="77777777" w:rsidR="003172A2" w:rsidRPr="003172A2" w:rsidRDefault="003172A2" w:rsidP="003172A2">
      <w:pPr>
        <w:rPr>
          <w:sz w:val="28"/>
          <w:szCs w:val="28"/>
        </w:rPr>
      </w:pPr>
      <w:r w:rsidRPr="003172A2">
        <w:rPr>
          <w:sz w:val="28"/>
          <w:szCs w:val="28"/>
        </w:rPr>
        <w:t>Summary by Margaret Placentra Johnston,</w:t>
      </w:r>
      <w:hyperlink r:id="rId4" w:history="1">
        <w:r w:rsidRPr="003172A2">
          <w:rPr>
            <w:rStyle w:val="Hyperlink"/>
            <w:sz w:val="28"/>
            <w:szCs w:val="28"/>
          </w:rPr>
          <w:t xml:space="preserve"> https://www.mpjauthor.com/</w:t>
        </w:r>
      </w:hyperlink>
      <w:r w:rsidRPr="003172A2">
        <w:rPr>
          <w:sz w:val="28"/>
          <w:szCs w:val="28"/>
        </w:rPr>
        <w:t xml:space="preserve"> (scroll down and click on “Paul Ricoeur.”</w:t>
      </w:r>
    </w:p>
    <w:p w14:paraId="6686E390" w14:textId="77777777" w:rsidR="003172A2" w:rsidRPr="003172A2" w:rsidRDefault="003172A2" w:rsidP="003172A2">
      <w:pPr>
        <w:rPr>
          <w:sz w:val="28"/>
          <w:szCs w:val="28"/>
        </w:rPr>
      </w:pPr>
      <w:r w:rsidRPr="003172A2">
        <w:rPr>
          <w:sz w:val="28"/>
          <w:szCs w:val="28"/>
        </w:rPr>
        <w:t>Though he mentioned the first naïveté only in passing, and as it relates to what happens after it, we can deduce that the first naïveté refers to the interpretation of scripture (or religious belief) where everything is taken at face value. This is the same as saying that the person in the first naïveté believes everything about their religion literally…</w:t>
      </w:r>
    </w:p>
    <w:p w14:paraId="5FD4FC74" w14:textId="77777777" w:rsidR="003172A2" w:rsidRPr="003172A2" w:rsidRDefault="003172A2" w:rsidP="003172A2">
      <w:pPr>
        <w:rPr>
          <w:sz w:val="28"/>
          <w:szCs w:val="28"/>
        </w:rPr>
      </w:pPr>
      <w:r w:rsidRPr="003172A2">
        <w:rPr>
          <w:b/>
          <w:bCs/>
          <w:sz w:val="28"/>
          <w:szCs w:val="28"/>
        </w:rPr>
        <w:t>Paul Ricoeur and the Critical Distance</w:t>
      </w:r>
    </w:p>
    <w:p w14:paraId="08E5D2A0" w14:textId="77777777" w:rsidR="003172A2" w:rsidRPr="003172A2" w:rsidRDefault="003172A2" w:rsidP="003172A2">
      <w:pPr>
        <w:rPr>
          <w:sz w:val="28"/>
          <w:szCs w:val="28"/>
        </w:rPr>
      </w:pPr>
      <w:r w:rsidRPr="003172A2">
        <w:rPr>
          <w:sz w:val="28"/>
          <w:szCs w:val="28"/>
        </w:rPr>
        <w:t>According to Ricoeur, the rational forces brought to our civilization through modernity have made it difficult to accept religion or scripture in the "first naïveté" sense. Once subjected to rational inspection, the literal meanings of religion really do not hold up. Once a person allows themselves to take a step back from religious belief, and examine it critically, they really cannot believe the simple, naïve, concepts their religion teaches at face value…</w:t>
      </w:r>
    </w:p>
    <w:p w14:paraId="73CDE77D" w14:textId="77777777" w:rsidR="003172A2" w:rsidRPr="003172A2" w:rsidRDefault="003172A2" w:rsidP="003172A2">
      <w:pPr>
        <w:rPr>
          <w:sz w:val="28"/>
          <w:szCs w:val="28"/>
        </w:rPr>
      </w:pPr>
      <w:r w:rsidRPr="003172A2">
        <w:rPr>
          <w:b/>
          <w:bCs/>
          <w:sz w:val="28"/>
          <w:szCs w:val="28"/>
        </w:rPr>
        <w:t>Second Naïveté</w:t>
      </w:r>
    </w:p>
    <w:p w14:paraId="3D369C6C" w14:textId="77777777" w:rsidR="003172A2" w:rsidRPr="003172A2" w:rsidRDefault="003172A2" w:rsidP="003172A2">
      <w:pPr>
        <w:rPr>
          <w:sz w:val="28"/>
          <w:szCs w:val="28"/>
        </w:rPr>
      </w:pPr>
      <w:r w:rsidRPr="003172A2">
        <w:rPr>
          <w:sz w:val="28"/>
          <w:szCs w:val="28"/>
        </w:rPr>
        <w:t xml:space="preserve">After the critical distance phase, </w:t>
      </w:r>
      <w:proofErr w:type="spellStart"/>
      <w:r w:rsidRPr="003172A2">
        <w:rPr>
          <w:sz w:val="28"/>
          <w:szCs w:val="28"/>
        </w:rPr>
        <w:t>Ricoeur</w:t>
      </w:r>
      <w:proofErr w:type="spellEnd"/>
      <w:r w:rsidRPr="003172A2">
        <w:rPr>
          <w:sz w:val="28"/>
          <w:szCs w:val="28"/>
        </w:rPr>
        <w:t xml:space="preserve"> suggested, there is a way to engage faith in what he called a "second naïveté" way. "Beyond the desert (Rational stage) of criticism, we wish to be called again." (SE, p. 349)</w:t>
      </w:r>
    </w:p>
    <w:p w14:paraId="731BB85E" w14:textId="77777777" w:rsidR="003172A2" w:rsidRPr="003172A2" w:rsidRDefault="003172A2" w:rsidP="003172A2">
      <w:pPr>
        <w:rPr>
          <w:sz w:val="28"/>
          <w:szCs w:val="28"/>
        </w:rPr>
      </w:pPr>
      <w:r w:rsidRPr="003172A2">
        <w:rPr>
          <w:sz w:val="28"/>
          <w:szCs w:val="28"/>
        </w:rPr>
        <w:t>In this second naïveté, scripture and religious concepts are seen as symbols, (i.e. metaphorical constructs) that we now interpret "in the full responsibility of autonomous thought." (SE, p. 350)</w:t>
      </w:r>
    </w:p>
    <w:p w14:paraId="097CE5E3" w14:textId="77777777" w:rsidR="003172A2" w:rsidRPr="003172A2" w:rsidRDefault="003172A2" w:rsidP="003172A2">
      <w:pPr>
        <w:rPr>
          <w:sz w:val="28"/>
          <w:szCs w:val="28"/>
        </w:rPr>
      </w:pPr>
      <w:r w:rsidRPr="003172A2">
        <w:rPr>
          <w:sz w:val="28"/>
          <w:szCs w:val="28"/>
        </w:rPr>
        <w:t xml:space="preserve">This means we accept that the myths we held as truth in the first naïveté (or Faithful stage) are in fact myths, but having passed through the critical distance (or Rational stage,) we begin to reengage these concepts at a different level. We no longer accept them at face value, as presented by religious authorities, but rather interpret them for ourselves, in the light of having assumed personal responsibility for our beliefs. We choose to move toward our own interpretation that recognizes these concepts as symbols of something greater than that which </w:t>
      </w:r>
      <w:r w:rsidRPr="003172A2">
        <w:rPr>
          <w:sz w:val="28"/>
          <w:szCs w:val="28"/>
        </w:rPr>
        <w:lastRenderedPageBreak/>
        <w:t>the words or teachings imply in their literal sense. This "second naïveté is roughly equivalent to the Mystic stage of spiritual development as referred to on this site.</w:t>
      </w:r>
    </w:p>
    <w:p w14:paraId="178BF322" w14:textId="77777777" w:rsidR="003172A2" w:rsidRPr="003172A2" w:rsidRDefault="003172A2" w:rsidP="003172A2">
      <w:pPr>
        <w:rPr>
          <w:sz w:val="28"/>
          <w:szCs w:val="28"/>
        </w:rPr>
      </w:pPr>
      <w:r w:rsidRPr="003172A2">
        <w:rPr>
          <w:b/>
          <w:bCs/>
          <w:sz w:val="28"/>
          <w:szCs w:val="28"/>
        </w:rPr>
        <w:t>Religion, Atheism and Faith</w:t>
      </w:r>
    </w:p>
    <w:p w14:paraId="6EFB25A2" w14:textId="77777777" w:rsidR="003172A2" w:rsidRPr="003172A2" w:rsidRDefault="003172A2" w:rsidP="003172A2">
      <w:pPr>
        <w:rPr>
          <w:sz w:val="28"/>
          <w:szCs w:val="28"/>
        </w:rPr>
      </w:pPr>
      <w:r w:rsidRPr="003172A2">
        <w:rPr>
          <w:sz w:val="28"/>
          <w:szCs w:val="28"/>
        </w:rPr>
        <w:t>In a lecture delivered at Columbia University in 1966 entitled "The Religious Significance of Atheism" Paul Ricoeur applied this scenario more directly to religious belief. He said: "I have placed "atheism" in an intermediary position: for I wish to consider it as both a break and a link between religion (as in the Faithful stage) and faith (as in the Mystic stage.)</w:t>
      </w:r>
    </w:p>
    <w:p w14:paraId="33DFA03A" w14:textId="77777777" w:rsidR="003172A2" w:rsidRPr="003172A2" w:rsidRDefault="003172A2" w:rsidP="003172A2">
      <w:pPr>
        <w:rPr>
          <w:sz w:val="28"/>
          <w:szCs w:val="28"/>
        </w:rPr>
      </w:pPr>
      <w:proofErr w:type="spellStart"/>
      <w:r w:rsidRPr="003172A2">
        <w:rPr>
          <w:sz w:val="28"/>
          <w:szCs w:val="28"/>
        </w:rPr>
        <w:t>Ricoeur</w:t>
      </w:r>
      <w:proofErr w:type="spellEnd"/>
      <w:r w:rsidRPr="003172A2">
        <w:rPr>
          <w:sz w:val="28"/>
          <w:szCs w:val="28"/>
        </w:rPr>
        <w:t xml:space="preserve"> goes on to explain that the two main functions of traditional religion (which he seems to be putting down here in this lecture) are "accusation" (</w:t>
      </w:r>
      <w:proofErr w:type="spellStart"/>
      <w:r w:rsidRPr="003172A2">
        <w:rPr>
          <w:sz w:val="28"/>
          <w:szCs w:val="28"/>
        </w:rPr>
        <w:t>Ricoeur</w:t>
      </w:r>
      <w:proofErr w:type="spellEnd"/>
      <w:r w:rsidRPr="003172A2">
        <w:rPr>
          <w:sz w:val="28"/>
          <w:szCs w:val="28"/>
        </w:rPr>
        <w:t xml:space="preserve"> does use some odd terminology, but by "accusation" he means the taboos imposed by religion and the fear of punishment) and "consolation" (which means the desire for protection or shelter.)</w:t>
      </w:r>
    </w:p>
    <w:p w14:paraId="2512ABF6" w14:textId="77777777" w:rsidR="003172A2" w:rsidRPr="003172A2" w:rsidRDefault="003172A2" w:rsidP="003172A2">
      <w:pPr>
        <w:rPr>
          <w:sz w:val="28"/>
          <w:szCs w:val="28"/>
        </w:rPr>
      </w:pPr>
      <w:r w:rsidRPr="003172A2">
        <w:rPr>
          <w:sz w:val="28"/>
          <w:szCs w:val="28"/>
        </w:rPr>
        <w:t xml:space="preserve">These, according to </w:t>
      </w:r>
      <w:proofErr w:type="spellStart"/>
      <w:r w:rsidRPr="003172A2">
        <w:rPr>
          <w:sz w:val="28"/>
          <w:szCs w:val="28"/>
        </w:rPr>
        <w:t>Ricoeur</w:t>
      </w:r>
      <w:proofErr w:type="spellEnd"/>
      <w:r w:rsidRPr="003172A2">
        <w:rPr>
          <w:sz w:val="28"/>
          <w:szCs w:val="28"/>
        </w:rPr>
        <w:t xml:space="preserve"> are what attract what he calls "primitive man" to religion. He writes "I take religion (of the Faithful) to be this archaic system which faith (as in the faith of the Mystic) must always overcome. (RSA, p. 60)</w:t>
      </w:r>
    </w:p>
    <w:p w14:paraId="585BBC81" w14:textId="77777777" w:rsidR="003172A2" w:rsidRPr="003172A2" w:rsidRDefault="003172A2" w:rsidP="003172A2">
      <w:pPr>
        <w:rPr>
          <w:sz w:val="28"/>
          <w:szCs w:val="28"/>
        </w:rPr>
      </w:pPr>
      <w:r w:rsidRPr="003172A2">
        <w:rPr>
          <w:sz w:val="28"/>
          <w:szCs w:val="28"/>
        </w:rPr>
        <w:t xml:space="preserve">Accusation and consolation are considered "rotten points" of religion by </w:t>
      </w:r>
      <w:proofErr w:type="spellStart"/>
      <w:r w:rsidRPr="003172A2">
        <w:rPr>
          <w:sz w:val="28"/>
          <w:szCs w:val="28"/>
        </w:rPr>
        <w:t>Ricoeur</w:t>
      </w:r>
      <w:proofErr w:type="spellEnd"/>
      <w:r w:rsidRPr="003172A2">
        <w:rPr>
          <w:sz w:val="28"/>
          <w:szCs w:val="28"/>
        </w:rPr>
        <w:t>. Atheism, he says, is useful in that it destroys the shelter offered by traditional religion and liberates men from taboos imposed by religion. In this sense, says Ricoeur, "atheism clears the ground for a faith beyond accusation and consolation." (RSA, p. 60) This is the faith of what we are calling the Mystic on this site.</w:t>
      </w:r>
    </w:p>
    <w:p w14:paraId="525B8D49" w14:textId="77777777" w:rsidR="003172A2" w:rsidRPr="003172A2" w:rsidRDefault="003172A2" w:rsidP="003172A2">
      <w:pPr>
        <w:rPr>
          <w:sz w:val="28"/>
          <w:szCs w:val="28"/>
        </w:rPr>
      </w:pPr>
      <w:r w:rsidRPr="003172A2">
        <w:rPr>
          <w:b/>
          <w:bCs/>
          <w:sz w:val="28"/>
          <w:szCs w:val="28"/>
        </w:rPr>
        <w:t>References</w:t>
      </w:r>
    </w:p>
    <w:p w14:paraId="1D47FCFE" w14:textId="77777777" w:rsidR="003172A2" w:rsidRPr="003172A2" w:rsidRDefault="003172A2" w:rsidP="003172A2">
      <w:pPr>
        <w:rPr>
          <w:sz w:val="28"/>
          <w:szCs w:val="28"/>
        </w:rPr>
      </w:pPr>
      <w:r w:rsidRPr="003172A2">
        <w:rPr>
          <w:sz w:val="28"/>
          <w:szCs w:val="28"/>
        </w:rPr>
        <w:t>-</w:t>
      </w:r>
      <w:proofErr w:type="spellStart"/>
      <w:r w:rsidRPr="003172A2">
        <w:rPr>
          <w:sz w:val="28"/>
          <w:szCs w:val="28"/>
        </w:rPr>
        <w:t>Ricoeur</w:t>
      </w:r>
      <w:proofErr w:type="spellEnd"/>
      <w:r w:rsidRPr="003172A2">
        <w:rPr>
          <w:sz w:val="28"/>
          <w:szCs w:val="28"/>
        </w:rPr>
        <w:t>, Paul. The Symbolism of Evil. Boston: Beacon Press, 1967. (SE) -Macintyre, Alasdair and Paul Ricoeur.</w:t>
      </w:r>
    </w:p>
    <w:p w14:paraId="6DC15D15" w14:textId="77777777" w:rsidR="003172A2" w:rsidRPr="003172A2" w:rsidRDefault="003172A2" w:rsidP="003172A2">
      <w:pPr>
        <w:rPr>
          <w:sz w:val="28"/>
          <w:szCs w:val="28"/>
        </w:rPr>
      </w:pPr>
      <w:r w:rsidRPr="003172A2">
        <w:rPr>
          <w:sz w:val="28"/>
          <w:szCs w:val="28"/>
        </w:rPr>
        <w:t>The Religious Significance of Atheism. New York: Columbia University Press, 1969. (RSA)</w:t>
      </w:r>
    </w:p>
    <w:p w14:paraId="2E1CF367" w14:textId="77777777" w:rsidR="003172A2" w:rsidRPr="003172A2" w:rsidRDefault="003172A2" w:rsidP="003172A2">
      <w:pPr>
        <w:rPr>
          <w:sz w:val="28"/>
          <w:szCs w:val="28"/>
        </w:rPr>
      </w:pPr>
      <w:r w:rsidRPr="003172A2">
        <w:rPr>
          <w:sz w:val="28"/>
          <w:szCs w:val="28"/>
        </w:rPr>
        <w:t> </w:t>
      </w:r>
    </w:p>
    <w:p w14:paraId="27B28B2A" w14:textId="77777777" w:rsidR="003172A2" w:rsidRPr="003172A2" w:rsidRDefault="003172A2" w:rsidP="003172A2">
      <w:pPr>
        <w:rPr>
          <w:sz w:val="28"/>
          <w:szCs w:val="28"/>
        </w:rPr>
      </w:pPr>
      <w:r w:rsidRPr="003172A2">
        <w:rPr>
          <w:sz w:val="28"/>
          <w:szCs w:val="28"/>
        </w:rPr>
        <w:lastRenderedPageBreak/>
        <w:t>Original doc is also at:</w:t>
      </w:r>
      <w:r w:rsidRPr="003172A2">
        <w:rPr>
          <w:sz w:val="28"/>
          <w:szCs w:val="28"/>
        </w:rPr>
        <w:br/>
      </w:r>
      <w:hyperlink r:id="rId5" w:history="1">
        <w:r w:rsidRPr="003172A2">
          <w:rPr>
            <w:rStyle w:val="Hyperlink"/>
            <w:sz w:val="28"/>
            <w:szCs w:val="28"/>
          </w:rPr>
          <w:t xml:space="preserve"> https://share.google/7ct2r92NBldsHWk7M</w:t>
        </w:r>
      </w:hyperlink>
    </w:p>
    <w:p w14:paraId="642CABAA" w14:textId="77777777" w:rsidR="003172A2" w:rsidRPr="003172A2" w:rsidRDefault="003172A2">
      <w:pPr>
        <w:rPr>
          <w:sz w:val="28"/>
          <w:szCs w:val="28"/>
        </w:rPr>
      </w:pPr>
    </w:p>
    <w:sectPr w:rsidR="003172A2" w:rsidRPr="003172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A7A62A7-BD55-4BD8-A64B-7599D0399E0C}"/>
    <w:docVar w:name="dgnword-eventsink" w:val="1878855952240"/>
  </w:docVars>
  <w:rsids>
    <w:rsidRoot w:val="003172A2"/>
    <w:rsid w:val="003172A2"/>
    <w:rsid w:val="00E146D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55267"/>
  <w15:chartTrackingRefBased/>
  <w15:docId w15:val="{3AA94FAA-02E5-4CD2-9A7F-125599CE1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72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72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72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72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72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72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72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72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72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2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72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72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72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72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72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72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72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72A2"/>
    <w:rPr>
      <w:rFonts w:eastAsiaTheme="majorEastAsia" w:cstheme="majorBidi"/>
      <w:color w:val="272727" w:themeColor="text1" w:themeTint="D8"/>
    </w:rPr>
  </w:style>
  <w:style w:type="paragraph" w:styleId="Title">
    <w:name w:val="Title"/>
    <w:basedOn w:val="Normal"/>
    <w:next w:val="Normal"/>
    <w:link w:val="TitleChar"/>
    <w:uiPriority w:val="10"/>
    <w:qFormat/>
    <w:rsid w:val="003172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72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72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72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72A2"/>
    <w:pPr>
      <w:spacing w:before="160"/>
      <w:jc w:val="center"/>
    </w:pPr>
    <w:rPr>
      <w:i/>
      <w:iCs/>
      <w:color w:val="404040" w:themeColor="text1" w:themeTint="BF"/>
    </w:rPr>
  </w:style>
  <w:style w:type="character" w:customStyle="1" w:styleId="QuoteChar">
    <w:name w:val="Quote Char"/>
    <w:basedOn w:val="DefaultParagraphFont"/>
    <w:link w:val="Quote"/>
    <w:uiPriority w:val="29"/>
    <w:rsid w:val="003172A2"/>
    <w:rPr>
      <w:i/>
      <w:iCs/>
      <w:color w:val="404040" w:themeColor="text1" w:themeTint="BF"/>
    </w:rPr>
  </w:style>
  <w:style w:type="paragraph" w:styleId="ListParagraph">
    <w:name w:val="List Paragraph"/>
    <w:basedOn w:val="Normal"/>
    <w:uiPriority w:val="34"/>
    <w:qFormat/>
    <w:rsid w:val="003172A2"/>
    <w:pPr>
      <w:ind w:left="720"/>
      <w:contextualSpacing/>
    </w:pPr>
  </w:style>
  <w:style w:type="character" w:styleId="IntenseEmphasis">
    <w:name w:val="Intense Emphasis"/>
    <w:basedOn w:val="DefaultParagraphFont"/>
    <w:uiPriority w:val="21"/>
    <w:qFormat/>
    <w:rsid w:val="003172A2"/>
    <w:rPr>
      <w:i/>
      <w:iCs/>
      <w:color w:val="2F5496" w:themeColor="accent1" w:themeShade="BF"/>
    </w:rPr>
  </w:style>
  <w:style w:type="paragraph" w:styleId="IntenseQuote">
    <w:name w:val="Intense Quote"/>
    <w:basedOn w:val="Normal"/>
    <w:next w:val="Normal"/>
    <w:link w:val="IntenseQuoteChar"/>
    <w:uiPriority w:val="30"/>
    <w:qFormat/>
    <w:rsid w:val="003172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72A2"/>
    <w:rPr>
      <w:i/>
      <w:iCs/>
      <w:color w:val="2F5496" w:themeColor="accent1" w:themeShade="BF"/>
    </w:rPr>
  </w:style>
  <w:style w:type="character" w:styleId="IntenseReference">
    <w:name w:val="Intense Reference"/>
    <w:basedOn w:val="DefaultParagraphFont"/>
    <w:uiPriority w:val="32"/>
    <w:qFormat/>
    <w:rsid w:val="003172A2"/>
    <w:rPr>
      <w:b/>
      <w:bCs/>
      <w:smallCaps/>
      <w:color w:val="2F5496" w:themeColor="accent1" w:themeShade="BF"/>
      <w:spacing w:val="5"/>
    </w:rPr>
  </w:style>
  <w:style w:type="character" w:styleId="Hyperlink">
    <w:name w:val="Hyperlink"/>
    <w:basedOn w:val="DefaultParagraphFont"/>
    <w:uiPriority w:val="99"/>
    <w:unhideWhenUsed/>
    <w:rsid w:val="003172A2"/>
    <w:rPr>
      <w:color w:val="0563C1" w:themeColor="hyperlink"/>
      <w:u w:val="single"/>
    </w:rPr>
  </w:style>
  <w:style w:type="character" w:styleId="UnresolvedMention">
    <w:name w:val="Unresolved Mention"/>
    <w:basedOn w:val="DefaultParagraphFont"/>
    <w:uiPriority w:val="99"/>
    <w:semiHidden/>
    <w:unhideWhenUsed/>
    <w:rsid w:val="003172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hare.google/7ct2r92NBldsHWk7M" TargetMode="External"/><Relationship Id="rId4" Type="http://schemas.openxmlformats.org/officeDocument/2006/relationships/hyperlink" Target="https://www.mpjauth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589</Words>
  <Characters>3362</Characters>
  <Application>Microsoft Office Word</Application>
  <DocSecurity>0</DocSecurity>
  <Lines>28</Lines>
  <Paragraphs>7</Paragraphs>
  <ScaleCrop>false</ScaleCrop>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Rabbi Josh Jacobs-Velde</dc:creator>
  <cp:keywords/>
  <dc:description/>
  <cp:lastModifiedBy>Rabbi Josh Jacobs-Velde</cp:lastModifiedBy>
  <cp:revision>1</cp:revision>
  <dcterms:created xsi:type="dcterms:W3CDTF">2025-12-18T21:38:00Z</dcterms:created>
  <dcterms:modified xsi:type="dcterms:W3CDTF">2025-12-18T21:40:00Z</dcterms:modified>
</cp:coreProperties>
</file>